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6419BC"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 w:rsidR="006419BC">
        <w:rPr>
          <w:rFonts w:eastAsia="Calibri" w:cstheme="minorHAnsi"/>
          <w:b/>
        </w:rPr>
        <w:t>RITORNO AL PRESENTE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6419BC" w:rsidRPr="006419BC">
        <w:rPr>
          <w:rFonts w:eastAsia="Calibri" w:cstheme="minorHAnsi"/>
          <w:b/>
        </w:rPr>
        <w:t>G58H18000460007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66FE7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nei seguenti moduli del progetto "</w:t>
      </w:r>
      <w:r w:rsidR="006419BC">
        <w:t>RITORNO AL PRESENTE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Pr="00E84244" w:rsidRDefault="006419BC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Tutti quanti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voglion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fare il jazz.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Corso di difesa personale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Une chance en 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 le mani </w:t>
            </w:r>
            <w:proofErr w:type="spellStart"/>
            <w:r>
              <w:rPr>
                <w:rFonts w:cstheme="minorHAnsi"/>
              </w:rPr>
              <w:t>posso…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66FE7"/>
    <w:rsid w:val="009A5DE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2020-02-22T20:18:00Z</dcterms:created>
  <dcterms:modified xsi:type="dcterms:W3CDTF">2020-02-22T20:18:00Z</dcterms:modified>
</cp:coreProperties>
</file>